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693" w:rsidRDefault="00873693" w:rsidP="00873693">
      <w:pPr>
        <w:jc w:val="center"/>
        <w:rPr>
          <w:noProof/>
        </w:rPr>
      </w:pPr>
    </w:p>
    <w:p w:rsidR="00873693" w:rsidRDefault="00873693" w:rsidP="00873693">
      <w:pPr>
        <w:jc w:val="center"/>
      </w:pPr>
      <w:r>
        <w:rPr>
          <w:noProof/>
        </w:rPr>
        <w:drawing>
          <wp:inline distT="0" distB="0" distL="0" distR="0" wp14:anchorId="768B01C5" wp14:editId="4DCFDB46">
            <wp:extent cx="3771900" cy="1158328"/>
            <wp:effectExtent l="0" t="0" r="0" b="3810"/>
            <wp:docPr id="1" name="Imagen 1" descr="C:\Users\LOBATO61\Google Drive\MMB GRUPO\MARKETING MMBGIC\MARKETING MMB GADESTIC\LOGOS\GadesticRedondosalta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BATO61\Google Drive\MMB GRUPO\MARKETING MMBGIC\MARKETING MMB GADESTIC\LOGOS\GadesticRedondosalta (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91791" cy="1164436"/>
                    </a:xfrm>
                    <a:prstGeom prst="rect">
                      <a:avLst/>
                    </a:prstGeom>
                    <a:noFill/>
                    <a:ln>
                      <a:noFill/>
                    </a:ln>
                  </pic:spPr>
                </pic:pic>
              </a:graphicData>
            </a:graphic>
          </wp:inline>
        </w:drawing>
      </w:r>
    </w:p>
    <w:p w:rsidR="00873693" w:rsidRDefault="00873693" w:rsidP="005163F8"/>
    <w:p w:rsidR="00873693" w:rsidRDefault="00873693" w:rsidP="00873693">
      <w:pPr>
        <w:jc w:val="center"/>
      </w:pPr>
      <w:r>
        <w:rPr>
          <w:noProof/>
        </w:rPr>
        <w:drawing>
          <wp:inline distT="0" distB="0" distL="0" distR="0" wp14:anchorId="6AE1E3D5" wp14:editId="76EE461B">
            <wp:extent cx="3876675" cy="1544212"/>
            <wp:effectExtent l="0" t="0" r="0" b="0"/>
            <wp:docPr id="2" name="Imagen 2" descr="C:\Users\LOBATO61\Google Drive\MMB GRUPO\MARKETING MMBGIC\MARKETING SUBCONMEETING\LOGOS\Espacio Subcomeeting 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BATO61\Google Drive\MMB GRUPO\MARKETING MMBGIC\MARKETING SUBCONMEETING\LOGOS\Espacio Subcomeeting Baj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90790" cy="1549834"/>
                    </a:xfrm>
                    <a:prstGeom prst="rect">
                      <a:avLst/>
                    </a:prstGeom>
                    <a:noFill/>
                    <a:ln>
                      <a:noFill/>
                    </a:ln>
                  </pic:spPr>
                </pic:pic>
              </a:graphicData>
            </a:graphic>
          </wp:inline>
        </w:drawing>
      </w:r>
    </w:p>
    <w:p w:rsidR="00DB51D4" w:rsidRDefault="00DB51D4" w:rsidP="00873693">
      <w:pPr>
        <w:jc w:val="center"/>
      </w:pPr>
    </w:p>
    <w:p w:rsidR="00DB51D4" w:rsidRDefault="00DB51D4" w:rsidP="00873693">
      <w:pPr>
        <w:jc w:val="center"/>
      </w:pPr>
    </w:p>
    <w:p w:rsidR="00DB51D4" w:rsidRDefault="00DB51D4" w:rsidP="00873693">
      <w:pPr>
        <w:jc w:val="center"/>
      </w:pPr>
    </w:p>
    <w:tbl>
      <w:tblPr>
        <w:tblW w:w="8931" w:type="dxa"/>
        <w:tblInd w:w="108" w:type="dxa"/>
        <w:shd w:val="clear" w:color="auto" w:fill="FFFF99"/>
        <w:tblLayout w:type="fixed"/>
        <w:tblLook w:val="01E0" w:firstRow="1" w:lastRow="1" w:firstColumn="1" w:lastColumn="1" w:noHBand="0" w:noVBand="0"/>
      </w:tblPr>
      <w:tblGrid>
        <w:gridCol w:w="2269"/>
        <w:gridCol w:w="6662"/>
      </w:tblGrid>
      <w:tr w:rsidR="00DB51D4" w:rsidTr="00E67296">
        <w:trPr>
          <w:trHeight w:val="697"/>
        </w:trPr>
        <w:tc>
          <w:tcPr>
            <w:tcW w:w="2269" w:type="dxa"/>
          </w:tcPr>
          <w:p w:rsidR="00DB51D4" w:rsidRDefault="00DB51D4" w:rsidP="00E67296"/>
          <w:p w:rsidR="00DB51D4" w:rsidRDefault="00DB51D4" w:rsidP="00E67296">
            <w:pPr>
              <w:rPr>
                <w:b/>
                <w:sz w:val="21"/>
              </w:rPr>
            </w:pPr>
            <w:r>
              <w:rPr>
                <w:b/>
                <w:noProof/>
                <w:sz w:val="21"/>
              </w:rPr>
              <w:drawing>
                <wp:inline distT="0" distB="0" distL="0" distR="0">
                  <wp:extent cx="1333500" cy="4667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466725"/>
                          </a:xfrm>
                          <a:prstGeom prst="rect">
                            <a:avLst/>
                          </a:prstGeom>
                          <a:noFill/>
                          <a:ln>
                            <a:noFill/>
                          </a:ln>
                        </pic:spPr>
                      </pic:pic>
                    </a:graphicData>
                  </a:graphic>
                </wp:inline>
              </w:drawing>
            </w:r>
          </w:p>
          <w:p w:rsidR="00DB51D4" w:rsidRPr="00EB6523" w:rsidRDefault="00DB51D4" w:rsidP="00E67296"/>
        </w:tc>
        <w:tc>
          <w:tcPr>
            <w:tcW w:w="6662" w:type="dxa"/>
            <w:tcBorders>
              <w:top w:val="single" w:sz="4" w:space="0" w:color="auto"/>
              <w:bottom w:val="single" w:sz="4" w:space="0" w:color="auto"/>
            </w:tcBorders>
            <w:shd w:val="clear" w:color="auto" w:fill="F3F3F3"/>
            <w:vAlign w:val="center"/>
          </w:tcPr>
          <w:p w:rsidR="00DB51D4" w:rsidRPr="0008620D" w:rsidRDefault="00DB51D4" w:rsidP="00E67296">
            <w:pPr>
              <w:pStyle w:val="Encabezado"/>
              <w:jc w:val="center"/>
              <w:rPr>
                <w:rFonts w:ascii="Arial" w:eastAsia="Batang" w:hAnsi="Arial" w:cs="Arial"/>
                <w:b/>
              </w:rPr>
            </w:pPr>
            <w:r>
              <w:rPr>
                <w:rFonts w:ascii="Arial" w:eastAsia="Batang" w:hAnsi="Arial" w:cs="Arial"/>
                <w:b/>
              </w:rPr>
              <w:t>V</w:t>
            </w:r>
            <w:r w:rsidRPr="0008620D">
              <w:rPr>
                <w:rFonts w:ascii="Arial" w:eastAsia="Batang" w:hAnsi="Arial" w:cs="Arial"/>
                <w:b/>
              </w:rPr>
              <w:t xml:space="preserve">- ENCUENTRO EMPRESARIAL HISPANO-MARROQUÍ DEL SECTOR DE AUTOMOCION </w:t>
            </w:r>
          </w:p>
          <w:p w:rsidR="00DB51D4" w:rsidRPr="0008620D" w:rsidRDefault="00DB51D4" w:rsidP="00E67296">
            <w:pPr>
              <w:pStyle w:val="Encabezado"/>
              <w:jc w:val="center"/>
              <w:rPr>
                <w:rFonts w:ascii="Arial" w:hAnsi="Arial" w:cs="Arial"/>
                <w:b/>
              </w:rPr>
            </w:pPr>
            <w:r w:rsidRPr="0008620D">
              <w:rPr>
                <w:rFonts w:ascii="Arial" w:hAnsi="Arial" w:cs="Arial"/>
                <w:b/>
              </w:rPr>
              <w:t>Tánger, 29 y 30 de Octubre 2.013</w:t>
            </w:r>
          </w:p>
          <w:p w:rsidR="00DB51D4" w:rsidRPr="00BB6104" w:rsidRDefault="00DB51D4" w:rsidP="00E67296">
            <w:pPr>
              <w:pStyle w:val="Encabezado"/>
              <w:jc w:val="center"/>
              <w:rPr>
                <w:b/>
                <w:color w:val="1F497D"/>
                <w:sz w:val="18"/>
                <w:szCs w:val="18"/>
              </w:rPr>
            </w:pPr>
            <w:r w:rsidRPr="0008620D">
              <w:rPr>
                <w:rFonts w:ascii="Arial" w:hAnsi="Arial" w:cs="Arial"/>
                <w:b/>
                <w:sz w:val="18"/>
                <w:szCs w:val="18"/>
              </w:rPr>
              <w:t xml:space="preserve">Hotel </w:t>
            </w:r>
            <w:proofErr w:type="spellStart"/>
            <w:r>
              <w:rPr>
                <w:rFonts w:ascii="Arial" w:hAnsi="Arial" w:cs="Arial"/>
                <w:b/>
                <w:sz w:val="18"/>
                <w:szCs w:val="18"/>
              </w:rPr>
              <w:t>Husa</w:t>
            </w:r>
            <w:proofErr w:type="spellEnd"/>
            <w:r>
              <w:rPr>
                <w:rFonts w:ascii="Arial" w:hAnsi="Arial" w:cs="Arial"/>
                <w:b/>
                <w:sz w:val="18"/>
                <w:szCs w:val="18"/>
              </w:rPr>
              <w:t xml:space="preserve"> </w:t>
            </w:r>
            <w:proofErr w:type="spellStart"/>
            <w:r>
              <w:rPr>
                <w:rFonts w:ascii="Arial" w:hAnsi="Arial" w:cs="Arial"/>
                <w:b/>
                <w:sz w:val="18"/>
                <w:szCs w:val="18"/>
              </w:rPr>
              <w:t>Solazur</w:t>
            </w:r>
            <w:proofErr w:type="spellEnd"/>
          </w:p>
        </w:tc>
      </w:tr>
    </w:tbl>
    <w:p w:rsidR="00DB51D4" w:rsidRDefault="00DB51D4" w:rsidP="00873693">
      <w:pPr>
        <w:jc w:val="center"/>
      </w:pPr>
    </w:p>
    <w:p w:rsidR="00873693" w:rsidRDefault="00873693" w:rsidP="00873693">
      <w:pPr>
        <w:jc w:val="center"/>
      </w:pPr>
    </w:p>
    <w:p w:rsidR="00873693" w:rsidRDefault="00873693" w:rsidP="00873693">
      <w:pPr>
        <w:jc w:val="center"/>
      </w:pPr>
    </w:p>
    <w:p w:rsidR="00873693" w:rsidRPr="00CA12F7" w:rsidRDefault="00A27AC6" w:rsidP="00873693">
      <w:pPr>
        <w:jc w:val="center"/>
        <w:rPr>
          <w:color w:val="FF0000"/>
          <w:sz w:val="52"/>
          <w:szCs w:val="52"/>
        </w:rPr>
      </w:pPr>
      <w:r>
        <w:rPr>
          <w:color w:val="FF0000"/>
          <w:sz w:val="52"/>
          <w:szCs w:val="52"/>
        </w:rPr>
        <w:t>DOSSIER INFORMATIVO</w:t>
      </w:r>
    </w:p>
    <w:p w:rsidR="00873693" w:rsidRDefault="00873693" w:rsidP="00873693">
      <w:pPr>
        <w:jc w:val="center"/>
      </w:pPr>
    </w:p>
    <w:p w:rsidR="00873693" w:rsidRDefault="00873693" w:rsidP="00873693">
      <w:pPr>
        <w:jc w:val="center"/>
      </w:pPr>
    </w:p>
    <w:p w:rsidR="00873693" w:rsidRDefault="00873693" w:rsidP="00873693">
      <w:pPr>
        <w:jc w:val="center"/>
      </w:pPr>
    </w:p>
    <w:p w:rsidR="00873693" w:rsidRPr="00CA12F7" w:rsidRDefault="00873693" w:rsidP="00CA12F7">
      <w:pPr>
        <w:rPr>
          <w:color w:val="0070C0"/>
        </w:rPr>
      </w:pPr>
      <w:r w:rsidRPr="00CA12F7">
        <w:rPr>
          <w:color w:val="0070C0"/>
        </w:rPr>
        <w:t xml:space="preserve">ORGANIZACIÓN: </w:t>
      </w:r>
      <w:r w:rsidR="00CA12F7" w:rsidRPr="00CA12F7">
        <w:rPr>
          <w:color w:val="0070C0"/>
        </w:rPr>
        <w:tab/>
      </w:r>
      <w:r w:rsidR="00CA12F7" w:rsidRPr="00CA12F7">
        <w:rPr>
          <w:color w:val="0070C0"/>
        </w:rPr>
        <w:tab/>
      </w:r>
      <w:r w:rsidRPr="00CA12F7">
        <w:rPr>
          <w:color w:val="0070C0"/>
        </w:rPr>
        <w:t>MMB GADESTIC, S.L.</w:t>
      </w:r>
    </w:p>
    <w:p w:rsidR="00CA12F7" w:rsidRPr="00CA12F7" w:rsidRDefault="00CA12F7" w:rsidP="00CA12F7">
      <w:pPr>
        <w:rPr>
          <w:color w:val="0070C0"/>
        </w:rPr>
      </w:pPr>
      <w:r w:rsidRPr="00CA12F7">
        <w:rPr>
          <w:color w:val="0070C0"/>
        </w:rPr>
        <w:t xml:space="preserve">LUGAR: </w:t>
      </w:r>
      <w:r w:rsidRPr="00CA12F7">
        <w:rPr>
          <w:color w:val="0070C0"/>
        </w:rPr>
        <w:tab/>
      </w:r>
      <w:r w:rsidRPr="00CA12F7">
        <w:rPr>
          <w:color w:val="0070C0"/>
        </w:rPr>
        <w:tab/>
      </w:r>
      <w:r w:rsidRPr="00CA12F7">
        <w:rPr>
          <w:color w:val="0070C0"/>
        </w:rPr>
        <w:tab/>
      </w:r>
      <w:r w:rsidR="00EA754C">
        <w:rPr>
          <w:color w:val="0070C0"/>
        </w:rPr>
        <w:t>HOTEL HUSA SOLAZUR TÁNGER</w:t>
      </w:r>
    </w:p>
    <w:p w:rsidR="00CA12F7" w:rsidRPr="00CA12F7" w:rsidRDefault="00CA12F7" w:rsidP="00CA12F7">
      <w:pPr>
        <w:rPr>
          <w:color w:val="0070C0"/>
        </w:rPr>
      </w:pPr>
      <w:r w:rsidRPr="00CA12F7">
        <w:rPr>
          <w:color w:val="0070C0"/>
        </w:rPr>
        <w:t>FECHAS.</w:t>
      </w:r>
      <w:r w:rsidRPr="00CA12F7">
        <w:rPr>
          <w:color w:val="0070C0"/>
        </w:rPr>
        <w:tab/>
      </w:r>
      <w:r w:rsidRPr="00CA12F7">
        <w:rPr>
          <w:color w:val="0070C0"/>
        </w:rPr>
        <w:tab/>
      </w:r>
      <w:r w:rsidRPr="00CA12F7">
        <w:rPr>
          <w:color w:val="0070C0"/>
        </w:rPr>
        <w:tab/>
      </w:r>
      <w:r w:rsidR="00EA754C">
        <w:rPr>
          <w:color w:val="0070C0"/>
        </w:rPr>
        <w:t>29</w:t>
      </w:r>
      <w:r w:rsidRPr="00CA12F7">
        <w:rPr>
          <w:color w:val="0070C0"/>
        </w:rPr>
        <w:t>-</w:t>
      </w:r>
      <w:r w:rsidR="00EA754C">
        <w:rPr>
          <w:color w:val="0070C0"/>
        </w:rPr>
        <w:t>30</w:t>
      </w:r>
      <w:r w:rsidRPr="00CA12F7">
        <w:rPr>
          <w:color w:val="0070C0"/>
        </w:rPr>
        <w:t xml:space="preserve"> OCTUBRE 2013</w:t>
      </w:r>
    </w:p>
    <w:p w:rsidR="00CA12F7" w:rsidRDefault="00CA12F7" w:rsidP="00CA12F7"/>
    <w:p w:rsidR="00873693" w:rsidRDefault="00873693" w:rsidP="00873693">
      <w:pPr>
        <w:jc w:val="center"/>
      </w:pPr>
    </w:p>
    <w:p w:rsidR="00873693" w:rsidRPr="00CA12F7" w:rsidRDefault="00873693" w:rsidP="00873693">
      <w:pPr>
        <w:jc w:val="center"/>
        <w:rPr>
          <w:color w:val="7030A0"/>
        </w:rPr>
      </w:pPr>
      <w:r w:rsidRPr="00CA12F7">
        <w:rPr>
          <w:color w:val="7030A0"/>
        </w:rPr>
        <w:t>PARTICIPANTES</w:t>
      </w:r>
      <w:r w:rsidR="00CA12F7" w:rsidRPr="00CA12F7">
        <w:rPr>
          <w:color w:val="7030A0"/>
        </w:rPr>
        <w:t>:</w:t>
      </w:r>
    </w:p>
    <w:p w:rsidR="00873693" w:rsidRPr="00CA12F7" w:rsidRDefault="00873693" w:rsidP="00873693">
      <w:pPr>
        <w:jc w:val="center"/>
        <w:rPr>
          <w:color w:val="7030A0"/>
        </w:rPr>
      </w:pPr>
    </w:p>
    <w:p w:rsidR="00CA12F7" w:rsidRPr="00CA12F7" w:rsidRDefault="00CA12F7" w:rsidP="00873693">
      <w:pPr>
        <w:jc w:val="center"/>
        <w:rPr>
          <w:color w:val="7030A0"/>
        </w:rPr>
      </w:pPr>
      <w:r w:rsidRPr="00CA12F7">
        <w:rPr>
          <w:color w:val="7030A0"/>
        </w:rPr>
        <w:t>INSYTE</w:t>
      </w:r>
    </w:p>
    <w:p w:rsidR="00CA12F7" w:rsidRPr="00CA12F7" w:rsidRDefault="00CA12F7" w:rsidP="00873693">
      <w:pPr>
        <w:jc w:val="center"/>
        <w:rPr>
          <w:color w:val="7030A0"/>
        </w:rPr>
      </w:pPr>
      <w:r w:rsidRPr="00CA12F7">
        <w:rPr>
          <w:color w:val="7030A0"/>
        </w:rPr>
        <w:t>NAGAMOHR</w:t>
      </w:r>
    </w:p>
    <w:p w:rsidR="00CA12F7" w:rsidRPr="00CA12F7" w:rsidRDefault="00CA12F7" w:rsidP="00873693">
      <w:pPr>
        <w:jc w:val="center"/>
        <w:rPr>
          <w:color w:val="7030A0"/>
        </w:rPr>
      </w:pPr>
      <w:r w:rsidRPr="00CA12F7">
        <w:rPr>
          <w:color w:val="7030A0"/>
        </w:rPr>
        <w:t>TÉCNICA DEL DECOLETAJE, S.L.</w:t>
      </w:r>
    </w:p>
    <w:p w:rsidR="00CA12F7" w:rsidRPr="00CA12F7" w:rsidRDefault="00CA12F7" w:rsidP="00873693">
      <w:pPr>
        <w:jc w:val="center"/>
        <w:rPr>
          <w:color w:val="7030A0"/>
        </w:rPr>
      </w:pPr>
      <w:r w:rsidRPr="00CA12F7">
        <w:rPr>
          <w:color w:val="7030A0"/>
        </w:rPr>
        <w:t>MECANIZADOS COAFIME</w:t>
      </w:r>
    </w:p>
    <w:p w:rsidR="00CA12F7" w:rsidRPr="00CA12F7" w:rsidRDefault="00EA754C" w:rsidP="00873693">
      <w:pPr>
        <w:jc w:val="center"/>
        <w:rPr>
          <w:color w:val="7030A0"/>
        </w:rPr>
      </w:pPr>
      <w:r>
        <w:rPr>
          <w:color w:val="7030A0"/>
        </w:rPr>
        <w:t>TALLERES RICARDO GARCIA, S.L.</w:t>
      </w:r>
    </w:p>
    <w:p w:rsidR="00CA12F7" w:rsidRDefault="00CA12F7" w:rsidP="00873693">
      <w:pPr>
        <w:jc w:val="center"/>
        <w:rPr>
          <w:color w:val="7030A0"/>
        </w:rPr>
      </w:pPr>
      <w:r w:rsidRPr="00CA12F7">
        <w:rPr>
          <w:color w:val="7030A0"/>
        </w:rPr>
        <w:t>MMB GADESTIC, S.L.</w:t>
      </w:r>
    </w:p>
    <w:p w:rsidR="004D6E36" w:rsidRDefault="004D6E36" w:rsidP="00873693">
      <w:pPr>
        <w:jc w:val="center"/>
        <w:rPr>
          <w:color w:val="7030A0"/>
        </w:rPr>
      </w:pPr>
    </w:p>
    <w:p w:rsidR="00295A44" w:rsidRDefault="004D6E36" w:rsidP="00CA12F7">
      <w:pPr>
        <w:rPr>
          <w:color w:val="E36C0A" w:themeColor="accent6" w:themeShade="BF"/>
        </w:rPr>
      </w:pPr>
      <w:r w:rsidRPr="004D6E36">
        <w:rPr>
          <w:color w:val="E36C0A" w:themeColor="accent6" w:themeShade="BF"/>
        </w:rPr>
        <w:t xml:space="preserve">SOPORTE COLABORADOR: </w:t>
      </w:r>
      <w:r>
        <w:rPr>
          <w:color w:val="E36C0A" w:themeColor="accent6" w:themeShade="BF"/>
        </w:rPr>
        <w:tab/>
      </w:r>
      <w:r w:rsidRPr="004D6E36">
        <w:rPr>
          <w:color w:val="E36C0A" w:themeColor="accent6" w:themeShade="BF"/>
        </w:rPr>
        <w:t>EDGAR CAYUELAS</w:t>
      </w:r>
      <w:r>
        <w:rPr>
          <w:color w:val="E36C0A" w:themeColor="accent6" w:themeShade="BF"/>
        </w:rPr>
        <w:t xml:space="preserve">. REPRESENTANTE DE TECNIDE </w:t>
      </w:r>
      <w:r>
        <w:rPr>
          <w:color w:val="E36C0A" w:themeColor="accent6" w:themeShade="BF"/>
        </w:rPr>
        <w:tab/>
      </w:r>
      <w:r>
        <w:rPr>
          <w:color w:val="E36C0A" w:themeColor="accent6" w:themeShade="BF"/>
        </w:rPr>
        <w:tab/>
      </w:r>
      <w:r>
        <w:rPr>
          <w:color w:val="E36C0A" w:themeColor="accent6" w:themeShade="BF"/>
        </w:rPr>
        <w:tab/>
      </w:r>
      <w:r>
        <w:rPr>
          <w:color w:val="E36C0A" w:themeColor="accent6" w:themeShade="BF"/>
        </w:rPr>
        <w:tab/>
      </w:r>
      <w:r>
        <w:rPr>
          <w:color w:val="E36C0A" w:themeColor="accent6" w:themeShade="BF"/>
        </w:rPr>
        <w:tab/>
        <w:t>EN MARRUECOS</w:t>
      </w:r>
    </w:p>
    <w:p w:rsidR="004D6E36" w:rsidRPr="00EA754C" w:rsidRDefault="004D6E36" w:rsidP="00CA12F7">
      <w:pPr>
        <w:rPr>
          <w:color w:val="984806" w:themeColor="accent6" w:themeShade="80"/>
        </w:rPr>
      </w:pPr>
    </w:p>
    <w:p w:rsidR="00873693" w:rsidRPr="00EA754C" w:rsidRDefault="00873693" w:rsidP="00873693">
      <w:pPr>
        <w:jc w:val="center"/>
      </w:pPr>
    </w:p>
    <w:p w:rsidR="00873693" w:rsidRPr="00EA754C" w:rsidRDefault="00873693" w:rsidP="00873693">
      <w:pPr>
        <w:jc w:val="center"/>
      </w:pPr>
    </w:p>
    <w:p w:rsidR="00873693" w:rsidRPr="00EA754C" w:rsidRDefault="00BB33FD" w:rsidP="00BB33FD">
      <w:pPr>
        <w:jc w:val="right"/>
      </w:pPr>
      <w:r w:rsidRPr="00EA754C">
        <w:t xml:space="preserve">Madrid, </w:t>
      </w:r>
      <w:r w:rsidR="00EA754C">
        <w:t>05</w:t>
      </w:r>
      <w:r w:rsidRPr="00EA754C">
        <w:t>-1</w:t>
      </w:r>
      <w:r w:rsidR="00EA754C">
        <w:t>1</w:t>
      </w:r>
      <w:r w:rsidRPr="00EA754C">
        <w:t>-13</w:t>
      </w:r>
    </w:p>
    <w:p w:rsidR="00873693" w:rsidRPr="00CA12F7" w:rsidRDefault="00CA12F7" w:rsidP="005163F8">
      <w:pPr>
        <w:rPr>
          <w:color w:val="FF0000"/>
        </w:rPr>
      </w:pPr>
      <w:r w:rsidRPr="00CA12F7">
        <w:rPr>
          <w:color w:val="FF0000"/>
        </w:rPr>
        <w:lastRenderedPageBreak/>
        <w:t>1.- INTRODUCCIÓN.</w:t>
      </w:r>
    </w:p>
    <w:p w:rsidR="004D6E36" w:rsidRDefault="004D6E36" w:rsidP="00295A44">
      <w:pPr>
        <w:jc w:val="both"/>
      </w:pPr>
    </w:p>
    <w:p w:rsidR="004D6E36" w:rsidRDefault="004D6E36" w:rsidP="00295A44">
      <w:pPr>
        <w:jc w:val="both"/>
      </w:pPr>
      <w:r>
        <w:t>Durante los días 29 y 30 de Octubre se celebró en la ciudad marroquí de Tánger el V encuentro empresarial hispano marroquí del sector de automoción.</w:t>
      </w:r>
    </w:p>
    <w:p w:rsidR="004D6E36" w:rsidRDefault="004D6E36" w:rsidP="00295A44">
      <w:pPr>
        <w:jc w:val="both"/>
      </w:pPr>
    </w:p>
    <w:p w:rsidR="004D6E36" w:rsidRDefault="004D6E36" w:rsidP="00295A44">
      <w:pPr>
        <w:jc w:val="both"/>
      </w:pPr>
      <w:r>
        <w:t>ESPACIO SUBCONMEETING asistió a dicho encuentro dentro de política de asistencia a ferias y encuentros B2B, representando a las empresas citadas en la parte superior.</w:t>
      </w:r>
    </w:p>
    <w:p w:rsidR="004D6E36" w:rsidRDefault="004D6E36" w:rsidP="00295A44">
      <w:pPr>
        <w:jc w:val="both"/>
      </w:pPr>
    </w:p>
    <w:p w:rsidR="004D6E36" w:rsidRDefault="004D6E36" w:rsidP="00295A44">
      <w:pPr>
        <w:jc w:val="both"/>
      </w:pPr>
      <w:r>
        <w:t>Como resumen se puede hacer constar que en líneas generales el encuentro fue bueno. Teníamos programadas 8 visitas que luego fueron 1</w:t>
      </w:r>
      <w:r w:rsidR="00DB51D4">
        <w:t>1</w:t>
      </w:r>
      <w:r>
        <w:t>, al fallar alguna de las programadas pero al conseguir alguna de carácter institucional e incluir alguna entre los participantes españoles en el encuentro.</w:t>
      </w:r>
    </w:p>
    <w:p w:rsidR="00730407" w:rsidRDefault="00730407" w:rsidP="00295A44">
      <w:pPr>
        <w:jc w:val="both"/>
      </w:pPr>
    </w:p>
    <w:p w:rsidR="00730407" w:rsidRDefault="00730407" w:rsidP="00295A44">
      <w:pPr>
        <w:jc w:val="both"/>
      </w:pPr>
      <w:r>
        <w:t>A modo de resumen os indicaré que la mayoría de empresas estaban dentro del sector servicios, luego el sector metal mecánico, siguiendo con los de inyección de plásticos y cableados.</w:t>
      </w:r>
    </w:p>
    <w:p w:rsidR="00DB51D4" w:rsidRDefault="00DB51D4" w:rsidP="00295A44">
      <w:pPr>
        <w:jc w:val="both"/>
      </w:pPr>
    </w:p>
    <w:p w:rsidR="00DB51D4" w:rsidRDefault="00DB51D4" w:rsidP="00295A44">
      <w:pPr>
        <w:jc w:val="both"/>
      </w:pPr>
      <w:r>
        <w:t xml:space="preserve">Cabe citar como muy interesante la reunión que tuvimos con el Sr Nadir de </w:t>
      </w:r>
      <w:proofErr w:type="spellStart"/>
      <w:r>
        <w:t>Aeroauto</w:t>
      </w:r>
      <w:proofErr w:type="spellEnd"/>
      <w:r>
        <w:t xml:space="preserve"> </w:t>
      </w:r>
      <w:proofErr w:type="spellStart"/>
      <w:r>
        <w:t>Maroc</w:t>
      </w:r>
      <w:proofErr w:type="spellEnd"/>
      <w:r>
        <w:t>, con la perspectiva de un establecimiento en Marruecos a unos costes realmente contenidos.</w:t>
      </w:r>
    </w:p>
    <w:p w:rsidR="00AE2E11" w:rsidRDefault="00AE2E11" w:rsidP="00295A44">
      <w:pPr>
        <w:jc w:val="both"/>
      </w:pPr>
    </w:p>
    <w:p w:rsidR="00AE2E11" w:rsidRDefault="00AE2E11" w:rsidP="00295A44">
      <w:pPr>
        <w:jc w:val="both"/>
      </w:pPr>
      <w:r>
        <w:t xml:space="preserve">Aunque no es nuestro tema directamente os lo cuento por si consideráis interesante el dato, se está reclamando a un nivel muy alto la necesidad de actividades de formación, sobre todo a nivel de aspectos industriales, Calidad, Formación, </w:t>
      </w:r>
      <w:proofErr w:type="spellStart"/>
      <w:r>
        <w:t>etc</w:t>
      </w:r>
      <w:proofErr w:type="spellEnd"/>
      <w:r>
        <w:t xml:space="preserve"> </w:t>
      </w:r>
    </w:p>
    <w:p w:rsidR="00730407" w:rsidRDefault="00730407" w:rsidP="00295A44">
      <w:pPr>
        <w:jc w:val="both"/>
      </w:pPr>
    </w:p>
    <w:p w:rsidR="00B7674A" w:rsidRDefault="00B7674A" w:rsidP="00295A44">
      <w:pPr>
        <w:jc w:val="both"/>
      </w:pPr>
      <w:r>
        <w:t xml:space="preserve">El seguimiento de esta participación se realizará tanto por parte de </w:t>
      </w:r>
      <w:proofErr w:type="spellStart"/>
      <w:r>
        <w:t>Gadestic</w:t>
      </w:r>
      <w:proofErr w:type="spellEnd"/>
      <w:r>
        <w:t xml:space="preserve"> como de Edgar. </w:t>
      </w:r>
    </w:p>
    <w:p w:rsidR="00C97AAC" w:rsidRDefault="00C97AAC" w:rsidP="00295A44">
      <w:pPr>
        <w:jc w:val="both"/>
      </w:pPr>
    </w:p>
    <w:p w:rsidR="00C97AAC" w:rsidRDefault="00C97AAC" w:rsidP="00295A44">
      <w:pPr>
        <w:jc w:val="both"/>
      </w:pPr>
      <w:r>
        <w:t>En mi opinión y quizá más esta vez que ninguna, la impresión que me llevo es que ahora más que nunca Marruecos es una opción de futuro. Hay que trabajarla mucho, no es fácil de entrar, pero cuando se está dentro todo es bastante más fácil.</w:t>
      </w:r>
    </w:p>
    <w:p w:rsidR="00730407" w:rsidRDefault="00730407" w:rsidP="00295A44">
      <w:pPr>
        <w:jc w:val="both"/>
      </w:pPr>
    </w:p>
    <w:p w:rsidR="00DB51D4" w:rsidRDefault="00DB51D4" w:rsidP="005163F8">
      <w:bookmarkStart w:id="0" w:name="_GoBack"/>
      <w:bookmarkEnd w:id="0"/>
    </w:p>
    <w:p w:rsidR="00DB51D4" w:rsidRDefault="00DB51D4" w:rsidP="005163F8"/>
    <w:p w:rsidR="008442D2" w:rsidRDefault="008442D2" w:rsidP="005163F8"/>
    <w:p w:rsidR="00074070" w:rsidRDefault="00074070" w:rsidP="00074070">
      <w:pPr>
        <w:jc w:val="both"/>
      </w:pPr>
    </w:p>
    <w:p w:rsidR="00074070" w:rsidRDefault="00074070" w:rsidP="00074070">
      <w:pPr>
        <w:jc w:val="both"/>
      </w:pPr>
      <w:r>
        <w:t>MUCHÍSIMAS GRACIAS DE PARTE DE TODO EL EQUIPO DE:</w:t>
      </w:r>
    </w:p>
    <w:p w:rsidR="00236B9C" w:rsidRPr="00CA12F7" w:rsidRDefault="00236B9C" w:rsidP="005163F8"/>
    <w:p w:rsidR="00873693" w:rsidRPr="00CA12F7" w:rsidRDefault="00074070" w:rsidP="00074070">
      <w:pPr>
        <w:jc w:val="center"/>
      </w:pPr>
      <w:r>
        <w:rPr>
          <w:noProof/>
        </w:rPr>
        <w:drawing>
          <wp:inline distT="0" distB="0" distL="0" distR="0" wp14:anchorId="05404AFB" wp14:editId="0E89356F">
            <wp:extent cx="3019425" cy="927247"/>
            <wp:effectExtent l="0" t="0" r="0" b="6350"/>
            <wp:docPr id="34" name="Imagen 34" descr="C:\Users\LOBATO61\Google Drive\MMB GRUPO\MARKETING MMBGIC\MARKETING MMB GADESTIC\LOGOS\GadesticRedondosalta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BATO61\Google Drive\MMB GRUPO\MARKETING MMBGIC\MARKETING MMB GADESTIC\LOGOS\GadesticRedondosalta (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5348" cy="932137"/>
                    </a:xfrm>
                    <a:prstGeom prst="rect">
                      <a:avLst/>
                    </a:prstGeom>
                    <a:noFill/>
                    <a:ln>
                      <a:noFill/>
                    </a:ln>
                  </pic:spPr>
                </pic:pic>
              </a:graphicData>
            </a:graphic>
          </wp:inline>
        </w:drawing>
      </w:r>
    </w:p>
    <w:sectPr w:rsidR="00873693" w:rsidRPr="00CA12F7" w:rsidSect="005500EB">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F8"/>
    <w:rsid w:val="00074070"/>
    <w:rsid w:val="001573B0"/>
    <w:rsid w:val="00163F42"/>
    <w:rsid w:val="00236B9C"/>
    <w:rsid w:val="00295A44"/>
    <w:rsid w:val="002F310D"/>
    <w:rsid w:val="00337797"/>
    <w:rsid w:val="003D70B9"/>
    <w:rsid w:val="003E66E3"/>
    <w:rsid w:val="004B52FF"/>
    <w:rsid w:val="004D6E36"/>
    <w:rsid w:val="00514A24"/>
    <w:rsid w:val="005163F8"/>
    <w:rsid w:val="005500EB"/>
    <w:rsid w:val="00730407"/>
    <w:rsid w:val="0073621F"/>
    <w:rsid w:val="007C0A69"/>
    <w:rsid w:val="008442D2"/>
    <w:rsid w:val="00873693"/>
    <w:rsid w:val="008F416F"/>
    <w:rsid w:val="0095593E"/>
    <w:rsid w:val="00976238"/>
    <w:rsid w:val="00A27AC6"/>
    <w:rsid w:val="00A37DAF"/>
    <w:rsid w:val="00AE2E11"/>
    <w:rsid w:val="00AE3932"/>
    <w:rsid w:val="00B63838"/>
    <w:rsid w:val="00B7674A"/>
    <w:rsid w:val="00BB0661"/>
    <w:rsid w:val="00BB33FD"/>
    <w:rsid w:val="00C97AAC"/>
    <w:rsid w:val="00CA12F7"/>
    <w:rsid w:val="00D31E7F"/>
    <w:rsid w:val="00D34EBC"/>
    <w:rsid w:val="00D5329D"/>
    <w:rsid w:val="00DB51D4"/>
    <w:rsid w:val="00E335C3"/>
    <w:rsid w:val="00EA754C"/>
    <w:rsid w:val="00EC6DFB"/>
    <w:rsid w:val="00FA7B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3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693"/>
    <w:rPr>
      <w:rFonts w:ascii="Tahoma" w:hAnsi="Tahoma" w:cs="Tahoma"/>
      <w:sz w:val="16"/>
      <w:szCs w:val="16"/>
    </w:rPr>
  </w:style>
  <w:style w:type="table" w:styleId="Tablaconcuadrcula">
    <w:name w:val="Table Grid"/>
    <w:basedOn w:val="Tablanormal"/>
    <w:uiPriority w:val="59"/>
    <w:rsid w:val="00514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B51D4"/>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DB51D4"/>
  </w:style>
  <w:style w:type="character" w:styleId="Hipervnculo">
    <w:name w:val="Hyperlink"/>
    <w:basedOn w:val="Fuentedeprrafopredeter"/>
    <w:uiPriority w:val="99"/>
    <w:unhideWhenUsed/>
    <w:rsid w:val="008F41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3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693"/>
    <w:rPr>
      <w:rFonts w:ascii="Tahoma" w:hAnsi="Tahoma" w:cs="Tahoma"/>
      <w:sz w:val="16"/>
      <w:szCs w:val="16"/>
    </w:rPr>
  </w:style>
  <w:style w:type="table" w:styleId="Tablaconcuadrcula">
    <w:name w:val="Table Grid"/>
    <w:basedOn w:val="Tablanormal"/>
    <w:uiPriority w:val="59"/>
    <w:rsid w:val="00514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B51D4"/>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DB51D4"/>
  </w:style>
  <w:style w:type="character" w:styleId="Hipervnculo">
    <w:name w:val="Hyperlink"/>
    <w:basedOn w:val="Fuentedeprrafopredeter"/>
    <w:uiPriority w:val="99"/>
    <w:unhideWhenUsed/>
    <w:rsid w:val="008F41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326</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LOBATO GÓMEZ</dc:creator>
  <cp:lastModifiedBy>MARIO LOBATO GÓMEZ</cp:lastModifiedBy>
  <cp:revision>14</cp:revision>
  <dcterms:created xsi:type="dcterms:W3CDTF">2013-10-13T19:00:00Z</dcterms:created>
  <dcterms:modified xsi:type="dcterms:W3CDTF">2014-11-16T18:31:00Z</dcterms:modified>
</cp:coreProperties>
</file>